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F9B" w:rsidRPr="00B119BA" w:rsidRDefault="007D4F9B" w:rsidP="007D4F9B"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60" w:lineRule="auto"/>
        <w:jc w:val="both"/>
        <w:rPr>
          <w:rFonts w:ascii="Xunta Sans" w:hAnsi="Xunta Sans"/>
          <w:b/>
          <w:sz w:val="22"/>
          <w:szCs w:val="22"/>
          <w:lang w:bidi="hi-IN"/>
        </w:rPr>
      </w:pPr>
      <w:r w:rsidRPr="00B119BA">
        <w:rPr>
          <w:rFonts w:ascii="Xunta Sans" w:hAnsi="Xunta Sans"/>
          <w:b/>
        </w:rPr>
        <w:t>CORPO FACULTATIVO SUPERIOR DE ADMINISTRACIÓN ESPECIAL DA ADMINISTRACIÓN XERAL DA COMUNIDADE AUTÓNOMA DE GALICIA, SUBGRUPO A1, ESCALA DE ARQUITECTOS</w:t>
      </w:r>
      <w:r>
        <w:rPr>
          <w:rFonts w:ascii="Xunta Sans" w:hAnsi="Xunta Sans"/>
          <w:b/>
        </w:rPr>
        <w:t>. DOG núm. 241, do 17 de decembro de 2021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  <w:lang w:bidi="hi-IN"/>
        </w:rPr>
      </w:pPr>
    </w:p>
    <w:p w:rsidR="007D4F9B" w:rsidRDefault="007D4F9B" w:rsidP="007D4F9B">
      <w:pPr>
        <w:pStyle w:val="Standard"/>
        <w:numPr>
          <w:ilvl w:val="0"/>
          <w:numId w:val="1"/>
        </w:numPr>
        <w:spacing w:line="360" w:lineRule="auto"/>
        <w:jc w:val="both"/>
        <w:rPr>
          <w:rFonts w:ascii="Xunta Sans" w:hAnsi="Xunta Sans"/>
          <w:b/>
          <w:bCs/>
          <w:sz w:val="22"/>
          <w:szCs w:val="22"/>
        </w:rPr>
      </w:pPr>
    </w:p>
    <w:p w:rsidR="007D4F9B" w:rsidRPr="00B119BA" w:rsidRDefault="007D4F9B" w:rsidP="007D4F9B">
      <w:pPr>
        <w:pStyle w:val="Standard"/>
        <w:numPr>
          <w:ilvl w:val="0"/>
          <w:numId w:val="1"/>
        </w:numPr>
        <w:spacing w:line="360" w:lineRule="auto"/>
        <w:jc w:val="both"/>
        <w:rPr>
          <w:rFonts w:ascii="Xunta Sans" w:hAnsi="Xunta Sans"/>
          <w:b/>
          <w:bCs/>
          <w:sz w:val="22"/>
          <w:szCs w:val="22"/>
        </w:rPr>
      </w:pPr>
      <w:r w:rsidRPr="00B119BA">
        <w:rPr>
          <w:rFonts w:ascii="Xunta Sans" w:hAnsi="Xunta Sans"/>
          <w:b/>
          <w:bCs/>
          <w:sz w:val="22"/>
          <w:szCs w:val="22"/>
        </w:rPr>
        <w:t>A) Parte xeral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1. A Constitución española de 1978: título preliminar, título I, artigos 10, 14, 23, capítulo IV e capítulo V e título VIII.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2. Lei orgánica 1/1981, do 6 de abril, do Estatuto de autonomía para Galicia: título I, título II e título III.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3. Lei 39/2015, do 1 de outubro, do procedemento administrativo común das administracións públicas: título III, título IV, capítulo I e capítulo IV e título V.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4. Lei 4/2019, do 17 de xullo, da administración dixital de Galicia: título preliminar, título I, capítulo I.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5. Lei 40/2015, do 1 de outubro, de réxime xurídico do sector público: título preliminar, capítulos III e IV.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Lei 16/2010, do 17 de decembro, de organización e funcionamento da Administración xeral e do sector público autonómico: título preliminar, título I.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7. Lei 2/2015, do 29 de abril, do emprego público de Galicia: título III, título VI capítulos III e IV e título VIII.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8. Lei orgánica 3/2018, do 5 de decembro, de protección de datos persoais e garantía dos dereitos dixitais: título I, título II, título III e título VIII. </w:t>
      </w:r>
    </w:p>
    <w:p w:rsidR="007D4F9B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Decreto lexislativo 2/2015, do 12 de febreiro, polo que se aproba o texto refundido das disposicións legais da Comunidade Autónoma de Galicia en materia de igualdade: título preliminar e título I.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E o título I da Lei orgánica 1/2004, do 28 de decembro, de medidas de protección integral contra a violencia de xénero.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10. Real decreto lexislativo 1/2013, do 29 de novembro, polo que se aproba o texto refundido da Lei xeral de dereitos das persoas con discapacidade e da súa inclusión social: título preliminar e título I.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11. Lei 1/2016, do 18 de xaneiro, de transparencia e bo goberno: título preliminar e título I.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12. Lei 9/2007, do 13 de xaneiro, de subvencións de Galicia. 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13. Lei 9/2017, de contratos do sector público, libros I e II.</w:t>
      </w:r>
    </w:p>
    <w:p w:rsidR="007D4F9B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  <w:highlight w:val="cyan"/>
        </w:rPr>
      </w:pPr>
    </w:p>
    <w:p w:rsidR="007D4F9B" w:rsidRPr="00B119BA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b/>
          <w:sz w:val="22"/>
          <w:szCs w:val="22"/>
        </w:rPr>
      </w:pPr>
      <w:r w:rsidRPr="00B119BA">
        <w:rPr>
          <w:rFonts w:ascii="Xunta Sans" w:hAnsi="Xunta Sans"/>
          <w:b/>
          <w:sz w:val="22"/>
          <w:szCs w:val="22"/>
        </w:rPr>
        <w:t>B) Parte específica</w:t>
      </w:r>
    </w:p>
    <w:p w:rsidR="007D4F9B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1. A Lei 38/1999, de ordenación da edificación. Exixencias técnicas e administrativas da edificación. Axentes. Responsabilidades e garantías.</w:t>
      </w:r>
    </w:p>
    <w:p w:rsidR="007D4F9B" w:rsidRPr="00C75B89" w:rsidRDefault="007D4F9B" w:rsidP="007D4F9B">
      <w:pPr>
        <w:pStyle w:val="Textbody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2. Disposicións relacionadas coa edificación. Normas, regulamentos e instrucións.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3. Disposicións sobre redacción de proxectos e dirección de obras. O libro de ordes e visitas. O certificado final de obras. Responsabilidade profesional do arquitecto. Intervencións dos colexios profesionais de arquitectos. O visado colexial.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4. O Código técnico de edificación. Ámbito de aplicación. Partes e contidos. Xeneralidades e exixencias básicas.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 5. Seguridade estrutural na edificación. DB-SE. Resistencia e estabilidade. Aptitude ao servizo. Relación con outras normativas estruturais. Normativa de accións na edificación. DB-SE-AE. Cimentacións na edificación. DB-SE-C.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6. Cimentacións na edificación. DB-SE-C.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7. Estruturas de aceiro en edificación. DB-SE-A.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8. Estruturas de fábrica en edificación. DB-SE-F.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9. Estruturas de madeira en edificación. DB-SE-M.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10. Seguridade en caso de incendios na edificación. DB-SI. </w:t>
      </w:r>
    </w:p>
    <w:p w:rsidR="007D4F9B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11. Seguridade de utilización na edificación. Exixencias básicas SUA 1 a SUA 8.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12. Condicións de salubridade na edificación. DB-HS.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13. Aforro de enerxía na edificación. DB-HE.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14. A certificación de eficiencia enerxética.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15. Condicións acústicas na edificación. Normativa técnica. DB-HR.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16. Estruturas de formigón na edificación. EHE.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17. Condicións mínimas de habitabilidade. A normativa galega de habitabilidade.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18. Normativa estatal vixente en materia de accesibilidade. Aspectos básicos da Lei 51/2003, de igualdade de oportunidades, non discriminación e accesibilidade universal das persoas con discapacidade. Real decreto 505/2007. Exixencia básica SUA. Seguridade de utilización e accesibilidade.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19. Orde TMA/851/2021, do 23 de xullo, pola que se desenvolve o documento técnico de condicións básicas de accesibilidade e non discriminación para o acceso e a utilización dos espazos públicos urbanizados.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20. Normativa autonómica vixente en materia de accesibilidade. Conceptos básicos. O Código de accesibilidade.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21. O control de calidade na edificación. As entidades e laboratorios de control de calidade na edificación. Normativa autonómica. Exixencias de control de recepción e execución no Código técnico de edificación.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22. Seguridade e saúde nas obras de construción. Real decreto 1627/1997.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23. Organización de obras: técnicas de programación. Plan de obra. Control do proceso construtivo.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24. Organización de obras: técnicas de programación PERT e GANTT. Plan de obra. Control do proceso construtivo.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>25. O contrato de obras: tipos de expedientes de contratación. Formas de adxudicación. Formalización do contrato. Comprobación da implantación.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26. Execución do contrato de obras. Dereitos e deberes dos contratistas. Aboamentos ao contratista. Modificación do contrato de obras. Recepción e liquidación. Revisión de prezos.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2</w:t>
      </w:r>
      <w:r w:rsidRPr="00C75B89">
        <w:rPr>
          <w:rFonts w:ascii="Xunta Sans" w:hAnsi="Xunta Sans"/>
          <w:sz w:val="22"/>
          <w:szCs w:val="22"/>
        </w:rPr>
        <w:t>7. Lexislación actual sobre vivendas de protección oficial. Normas xerais. Normas de deseño e calidade. Requisitos, cualificación e tipo de promoción. Vivendas de protección autonómica. Normativa autonómica.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28. Actuacións protexidas en materia de rehabilitación. Lexislación estatal e autonómica. Rehabilitación de vivendas e edificios no medio rural e en conxuntos históricos. Remate exterior de vivendas rurais. </w:t>
      </w:r>
      <w:proofErr w:type="spellStart"/>
      <w:r w:rsidRPr="00C75B89">
        <w:rPr>
          <w:rFonts w:ascii="Xunta Sans" w:hAnsi="Xunta Sans"/>
          <w:sz w:val="22"/>
          <w:szCs w:val="22"/>
        </w:rPr>
        <w:t>Infravivenda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Requisitos, condicións e tramitación.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29. Dereito urbanístico: evolución histórica da lexislación urbanística en España. Evolución da lexislación galega sobre urbanismo e ordenación do territorio. Principios básicos do ordenamento urbanístico vixente.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30. A organización administrativa do urbanismo: o urbanismo como función pública. Competencias da Administración do Estado. Competencias da Administración autonómica: órganos urbanísticos no ámbito da Comunidade Autónoma de Galicia. Competencias da Administración local, en particular, as de carácter municipal.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3</w:t>
      </w:r>
      <w:r w:rsidRPr="00C75B89">
        <w:rPr>
          <w:rFonts w:ascii="Xunta Sans" w:hAnsi="Xunta Sans"/>
          <w:sz w:val="22"/>
          <w:szCs w:val="22"/>
        </w:rPr>
        <w:t xml:space="preserve">1. A Lei 2/2016, do 10 de febreiro, do solo de Galicia, e a Lei 3/2016, do 1 de marzo, de medidas en materia de proxectos públicos de urxencia ou de excepcional interese: obxectivos e principios xerais.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 xml:space="preserve">32. </w:t>
      </w:r>
      <w:r w:rsidRPr="00C75B89">
        <w:rPr>
          <w:rFonts w:ascii="Xunta Sans" w:hAnsi="Xunta Sans"/>
          <w:sz w:val="22"/>
          <w:szCs w:val="22"/>
        </w:rPr>
        <w:t xml:space="preserve">Réxime xurídico do solo: dereitos e deberes dos propietarios do solo. A clasificación urbanística do solo. As normas de aplicación directa. Réxime xurídico de aplicación aos concellos con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non adaptado á Lei 2/2016, do 10 de febreiro, do solo de Galicia. </w:t>
      </w:r>
    </w:p>
    <w:p w:rsidR="007D4F9B" w:rsidRPr="00C75B89" w:rsidRDefault="007D4F9B" w:rsidP="007D4F9B">
      <w:pPr>
        <w:pStyle w:val="Standard"/>
        <w:spacing w:afterLines="142" w:after="3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33. O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urbanístico: os plans como figuras centrais do ordenamento urbanístico. Disposicións xerais sobre o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sustentabilidade e calidade de vida e cohesión social. 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34. O Plan básico autonómico de Galicia e os plans básicos municipais. 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7D4F9B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35. O Plan xeral de ordenación municipal: documentación e determinacións. Procedemento de elaboración e aprobación. 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36. As normas técnicas de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urbanístico de Galicia.</w:t>
      </w:r>
    </w:p>
    <w:p w:rsidR="007D4F9B" w:rsidRPr="00C75B89" w:rsidRDefault="007D4F9B" w:rsidP="007D4F9B">
      <w:pPr>
        <w:pStyle w:val="Standard"/>
        <w:jc w:val="both"/>
        <w:rPr>
          <w:rFonts w:ascii="Xunta Sans" w:hAnsi="Xunta Sans"/>
          <w:sz w:val="22"/>
          <w:szCs w:val="22"/>
        </w:rPr>
      </w:pP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37. O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do desenvolvemento: plans parciais e plans especiais. Outras figuras de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: as delimitacións do solo de núcleo rural; os estudos de detalle; os catálogos.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38. Vixencia, modificación e efectos da aprobación dos instrumentos de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urbanístico: o Rexistro de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Urbanístico de Galicia. O réxime do fóra de ordenación.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39. Execución do </w:t>
      </w:r>
      <w:proofErr w:type="spellStart"/>
      <w:r w:rsidRPr="00C75B89">
        <w:rPr>
          <w:rFonts w:ascii="Xunta Sans" w:hAnsi="Xunta Sans"/>
          <w:sz w:val="22"/>
          <w:szCs w:val="22"/>
        </w:rPr>
        <w:t>planeamento</w:t>
      </w:r>
      <w:proofErr w:type="spellEnd"/>
      <w:r w:rsidRPr="00C75B89">
        <w:rPr>
          <w:rFonts w:ascii="Xunta Sans" w:hAnsi="Xunta Sans"/>
          <w:sz w:val="22"/>
          <w:szCs w:val="22"/>
        </w:rPr>
        <w:t>: principios xerais. Áreas de repartición e polígonos. Os sistemas de actuación: cooperación, expropiación, concerto e compensación. Obtención de terreos de sistemas xerais e locais.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40. Os títulos </w:t>
      </w:r>
      <w:proofErr w:type="spellStart"/>
      <w:r w:rsidRPr="00C75B89">
        <w:rPr>
          <w:rFonts w:ascii="Xunta Sans" w:hAnsi="Xunta Sans"/>
          <w:sz w:val="22"/>
          <w:szCs w:val="22"/>
        </w:rPr>
        <w:t>habilitantes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 municipais de natureza urbanística: licenzas e comunicacións previas. Disciplina urbanística: principios xerais. A protección da legalidade urbanística, infraccións urbanísticas e as súas sancións. A inspección urbanística.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41. Ordenación do territorio: principios xerais. Os instrumentos de ordenación do territorio (I): Directrices de ordenación do territorio: as directrices de ordenación do territorio de Galicia (Decreto 19/2011, do 10 de febreiro); os plans territoriais: integrados e especiais. O Plan de ordenación do litoral (Decreto 20/2011, do 10 de febreiro).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42. Os instrumentos de ordenación do territorio (II): Os plans sectoriais. Os proxectos de interese autonómico. Procedemento de aprobación dos instrumentos de ordenación do territorio. Modificación, efectos e vixencia dos instrumentos de ordenación do territorio.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4</w:t>
      </w:r>
      <w:r w:rsidRPr="00C75B89">
        <w:rPr>
          <w:rFonts w:ascii="Xunta Sans" w:hAnsi="Xunta Sans"/>
          <w:sz w:val="22"/>
          <w:szCs w:val="22"/>
        </w:rPr>
        <w:t xml:space="preserve">3. Estradas e ferrocarril: lexislación estatal e autonómica.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lastRenderedPageBreak/>
        <w:t xml:space="preserve">44. Costas e portos: lexislación estatal e autonómica. O dominio público marítimo terrestre e a súa protección. Planificación urbanística da franxa litoral e dos portos. Distribución de competencias entre as administracións estatal, autonómica e local.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45. Espazos naturais: lexislación estatal e autonómica. Espazos naturais de interese comunitario: a Rede Natura 2000. Usos permitidos e prohibidos nas zonas de especial conservación. Significado das actividades vinculadas aos usos tradicionais.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46. O patrimonio cultural: evolución do concepto do patrimonio a través de documentos e cartas internacionais. Criterios de intervención nos conxuntos histórico-artísticos e nos edificios históricos. Materiais e sistemas construtivos tradicionais aplicados á conservación e restauración.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47. Lexislación estatal e autonómica de protección do patrimonio cultural. Competencias e obrigas das distintas administracións na protección do patrimonio cultural.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48. Lei 3/1996, de protección dos Camiños de Santiago. A protección do Camiño de Santiago, as determinacións e os criterios aplicables nos informes e autorizacións aos plans, programas e proxectos que se desenvolvan nos ámbitos afectados pola delimitación do Camiño de Santiago francés, aprobada polo Decreto 227/2011, do 2 de decembro, e o Decreto 144/2012, do 29 de xuño.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49. Principios legais de protección do patrimonio cultural e a súa vinculación coa lexislación vixente en materia de ordenación urbanística e protección do medio rural.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50. Sistemas de valoración segundo o obxectivo de valor: método do custo, método de comparación, método residual e método de actualización de rendas. A depreciación: clases.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5</w:t>
      </w:r>
      <w:r w:rsidRPr="00C75B89">
        <w:rPr>
          <w:rFonts w:ascii="Xunta Sans" w:hAnsi="Xunta Sans"/>
          <w:sz w:val="22"/>
          <w:szCs w:val="22"/>
        </w:rPr>
        <w:t xml:space="preserve">1. Valoracións urbanísticas e </w:t>
      </w:r>
      <w:proofErr w:type="spellStart"/>
      <w:r w:rsidRPr="00C75B89">
        <w:rPr>
          <w:rFonts w:ascii="Xunta Sans" w:hAnsi="Xunta Sans"/>
          <w:sz w:val="22"/>
          <w:szCs w:val="22"/>
        </w:rPr>
        <w:t>expropiatorias</w:t>
      </w:r>
      <w:proofErr w:type="spellEnd"/>
      <w:r w:rsidRPr="00C75B89">
        <w:rPr>
          <w:rFonts w:ascii="Xunta Sans" w:hAnsi="Xunta Sans"/>
          <w:sz w:val="22"/>
          <w:szCs w:val="22"/>
        </w:rPr>
        <w:t xml:space="preserve">. Regulación contida no texto refundido da Lei do solo (Real decreto lexislativo 2/2008) e no Regulamento de valoracións (Real decreto 1492/2011).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 xml:space="preserve">52. Valoracións fiscais. Valor catastral (normativa técnica estatal para o seu cálculo). A comprobación de valores de prezos medios de mercado aplicable a determinados inmobles rústicos e urbanos situados na Comunidade Autónoma de Galicia (normativa técnica autonómica para o seu cálculo). </w:t>
      </w:r>
    </w:p>
    <w:p w:rsidR="007D4F9B" w:rsidRPr="00C75B89" w:rsidRDefault="007D4F9B" w:rsidP="007D4F9B">
      <w:pPr>
        <w:pStyle w:val="Standard"/>
        <w:spacing w:after="140" w:line="360" w:lineRule="auto"/>
        <w:jc w:val="both"/>
        <w:rPr>
          <w:rFonts w:ascii="Xunta Sans" w:hAnsi="Xunta Sans"/>
          <w:sz w:val="22"/>
          <w:szCs w:val="22"/>
        </w:rPr>
      </w:pPr>
      <w:r w:rsidRPr="00C75B89">
        <w:rPr>
          <w:rFonts w:ascii="Xunta Sans" w:hAnsi="Xunta Sans"/>
          <w:sz w:val="22"/>
          <w:szCs w:val="22"/>
        </w:rPr>
        <w:t>53. A lexislación de arrendamentos urbanos. Principios xerais.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9B"/>
    <w:rsid w:val="00240CDD"/>
    <w:rsid w:val="007D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24B78-085C-4EF4-BB58-6A4825D6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Standard"/>
    <w:link w:val="Ttulo1Carc"/>
    <w:qFormat/>
    <w:rsid w:val="007D4F9B"/>
    <w:pPr>
      <w:keepNext/>
      <w:numPr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  <w:textAlignment w:val="baseline"/>
      <w:outlineLvl w:val="0"/>
    </w:pPr>
    <w:rPr>
      <w:rFonts w:ascii="Arial" w:eastAsia="Arial" w:hAnsi="Arial" w:cs="Arial"/>
      <w:b/>
      <w:i/>
      <w:color w:val="729FCF"/>
      <w:kern w:val="2"/>
      <w:sz w:val="24"/>
      <w:szCs w:val="20"/>
      <w:u w:val="single" w:color="729FCF"/>
      <w:lang w:eastAsia="zh-CN" w:bidi="hi-I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character" w:customStyle="1" w:styleId="Ttulo1Carc">
    <w:name w:val="Título 1 Carác."/>
    <w:basedOn w:val="Tipodeletrapredefinidodopargrafo"/>
    <w:link w:val="Ttulo1"/>
    <w:rsid w:val="007D4F9B"/>
    <w:rPr>
      <w:rFonts w:ascii="Arial" w:eastAsia="Arial" w:hAnsi="Arial" w:cs="Arial"/>
      <w:b/>
      <w:i/>
      <w:color w:val="729FCF"/>
      <w:kern w:val="2"/>
      <w:sz w:val="24"/>
      <w:szCs w:val="20"/>
      <w:u w:val="single" w:color="729FCF"/>
      <w:lang w:eastAsia="zh-CN" w:bidi="hi-IN"/>
    </w:rPr>
  </w:style>
  <w:style w:type="paragraph" w:customStyle="1" w:styleId="Standard">
    <w:name w:val="Standard"/>
    <w:rsid w:val="007D4F9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gl-ES" w:eastAsia="zh-CN"/>
    </w:rPr>
  </w:style>
  <w:style w:type="paragraph" w:customStyle="1" w:styleId="Textbody">
    <w:name w:val="Text body"/>
    <w:basedOn w:val="Standard"/>
    <w:autoRedefine/>
    <w:rsid w:val="007D4F9B"/>
    <w:pPr>
      <w:shd w:val="clear" w:color="auto" w:fill="729FCF"/>
      <w:spacing w:after="1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1628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2022-10-18T10:51:00Z</dcterms:created>
  <dcterms:modified xsi:type="dcterms:W3CDTF">2022-10-18T10:53:00Z</dcterms:modified>
</cp:coreProperties>
</file>